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outlineLvl w:val="0"/>
        <w:tabs defTabSz="708">
          <w:tab w:val="left" w:pos="3320" w:leader="none"/>
        </w:tabs>
        <w:rPr>
          <w:b/>
          <w:sz w:val="28"/>
          <w:szCs w:val="28"/>
        </w:rPr>
      </w:pPr>
      <w:r/>
      <w:bookmarkStart w:id="0" w:name="_GoBack"/>
      <w:bookmarkEnd w:id="0"/>
      <w:r/>
      <w:r>
        <w:rPr>
          <w:b/>
          <w:sz w:val="28"/>
          <w:szCs w:val="28"/>
        </w:rPr>
        <w:t>ОТКРЫТОЕ АКЦИОНЕРНОЕ ОБЩЕСТВО</w:t>
      </w:r>
      <w:r>
        <w:rPr>
          <w:b/>
          <w:sz w:val="28"/>
          <w:szCs w:val="28"/>
        </w:rPr>
      </w:r>
    </w:p>
    <w:p>
      <w:pPr>
        <w:spacing/>
        <w:jc w:val="center"/>
        <w:outlineLvl w:val="0"/>
        <w:tabs defTabSz="708">
          <w:tab w:val="left" w:pos="33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«РОССИЙСКИЕ ЖЕЛЕЗНЫЕ ДОРОГИ»</w:t>
      </w:r>
      <w:r>
        <w:rPr>
          <w:b/>
          <w:sz w:val="28"/>
          <w:szCs w:val="28"/>
        </w:rPr>
      </w:r>
    </w:p>
    <w:p>
      <w:pPr>
        <w:spacing/>
        <w:jc w:val="center"/>
        <w:outlineLvl w:val="0"/>
        <w:tabs defTabSz="708">
          <w:tab w:val="left" w:pos="33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 w:after="120"/>
        <w:jc w:val="center"/>
        <w:outlineLvl w:val="0"/>
        <w:tabs defTabSz="708">
          <w:tab w:val="left" w:pos="33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ПРОФЕССИОНАЛЬНЫЙ СОЮЗ ЖЕЛЕЗНОДОРОЖНИКОВ И ТРАНСПОРТНЫХ СТРОИТЕЛЕЙ</w:t>
      </w:r>
      <w:r>
        <w:rPr>
          <w:b/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-318" w:type="dxa"/>
        <w:tblW w:w="15700" w:type="dxa"/>
        <w:tblLook w:val="04A0" w:firstRow="1" w:lastRow="0" w:firstColumn="1" w:lastColumn="0" w:noHBand="0" w:noVBand="1"/>
      </w:tblPr>
      <w:tblGrid>
        <w:gridCol w:w="10491"/>
        <w:gridCol w:w="5209"/>
      </w:tblGrid>
      <w:tr>
        <w:trPr>
          <w:cantSplit w:val="0"/>
          <w:trHeight w:val="0" w:hRule="auto"/>
        </w:trPr>
        <w:tc>
          <w:tcPr>
            <w:tcW w:w="10491" w:type="dxa"/>
            <w:tmTcPr id="1592388180" protected="0"/>
          </w:tcPr>
          <w:p>
            <w:pPr>
              <w:spacing w:line="240" w:lineRule="exact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 w:line="240" w:lineRule="exact"/>
              <w:outlineLvl w:val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 w:line="240" w:lineRule="exact"/>
            </w:pPr>
            <w:r>
              <w:rPr>
                <w:color w:val="000000"/>
              </w:rPr>
              <w:t>О применении пункта 5.4.</w:t>
            </w:r>
            <w:r>
              <w:t xml:space="preserve"> Коллективного</w:t>
            </w:r>
          </w:p>
          <w:p>
            <w:pPr>
              <w:spacing w:line="240" w:lineRule="exact"/>
            </w:pPr>
            <w:r>
              <w:t>договора ОАО «РЖД» на 2020-2022 годы</w:t>
            </w:r>
          </w:p>
          <w:p>
            <w:pPr>
              <w:spacing w:line="240" w:lineRule="exact"/>
              <w:rPr>
                <w:color w:val="000000"/>
              </w:rPr>
            </w:pPr>
            <w:r>
              <w:t>при оплате простоя</w:t>
            </w:r>
            <w:r>
              <w:rPr>
                <w:color w:val="000000"/>
              </w:rPr>
            </w:r>
          </w:p>
          <w:p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209" w:type="dxa"/>
            <w:tmTcPr id="1592388180" protected="0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ind w:firstLine="709"/>
        <w:spacing w:line="36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условиях падения объемов работы вследствие распространения </w:t>
      </w:r>
      <w:r>
        <w:rPr>
          <w:sz w:val="28"/>
          <w:szCs w:val="28"/>
        </w:rPr>
        <w:t>коронавирусной</w:t>
      </w:r>
      <w:r>
        <w:rPr>
          <w:sz w:val="28"/>
          <w:szCs w:val="28"/>
        </w:rPr>
        <w:t xml:space="preserve"> инфекции 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вязи с поступающими вопросами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применения пункт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Коллективного договора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ОАО «РЖД» на                 2020-2022 годы (далее – Коллективный договор)</w:t>
      </w:r>
      <w:r>
        <w:rPr>
          <w:sz w:val="28"/>
          <w:szCs w:val="28"/>
        </w:rPr>
        <w:t xml:space="preserve"> при оплате простоя</w:t>
      </w:r>
      <w:r>
        <w:rPr>
          <w:sz w:val="28"/>
          <w:szCs w:val="28"/>
        </w:rPr>
        <w:t>, разъясняем:</w:t>
      </w:r>
      <w:r>
        <w:rPr>
          <w:sz w:val="28"/>
          <w:szCs w:val="28"/>
        </w:rPr>
      </w:r>
    </w:p>
    <w:p>
      <w:pPr>
        <w:pStyle w:val="para1"/>
        <w:ind w:firstLine="709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данному пункту в</w:t>
      </w:r>
      <w:r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за первую половину месяца производит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размере 50 процентов тарифной ставки (оклада) с учетом отработанного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размер указанной выплаты должен быть не ниже тарифной ставки (оклада) за отработанное время.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буквального толкования данной нормы следует, что право на оплату в указанном </w:t>
      </w:r>
      <w:r>
        <w:rPr>
          <w:rFonts w:eastAsia="Calibri"/>
          <w:sz w:val="28"/>
          <w:szCs w:val="28"/>
        </w:rPr>
        <w:t>размере возникает у работника только при условии, что он отработал не менее половины от установленной месячной нормы рабочего времени.</w:t>
      </w:r>
      <w:r>
        <w:rPr>
          <w:rFonts w:eastAsia="Calibri"/>
          <w:sz w:val="28"/>
          <w:szCs w:val="28"/>
        </w:rPr>
      </w:r>
    </w:p>
    <w:p>
      <w:pPr>
        <w:ind w:firstLine="709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Поскольку п</w:t>
      </w:r>
      <w:r>
        <w:rPr>
          <w:rFonts w:eastAsia="Calibri"/>
          <w:sz w:val="28"/>
          <w:szCs w:val="28"/>
        </w:rPr>
        <w:t>ри объявлении простоя</w:t>
      </w:r>
      <w:r>
        <w:rPr>
          <w:rFonts w:eastAsia="Calibri"/>
          <w:sz w:val="28"/>
          <w:szCs w:val="28"/>
        </w:rPr>
        <w:t xml:space="preserve"> у работника в соответствующем периоде отсутствует отработанное время, то правовых оснований для применения  пункта 5.4. Коллективного договора не имеется.</w:t>
      </w:r>
      <w:r>
        <w:rPr>
          <w:rFonts w:eastAsia="Calibri"/>
          <w:sz w:val="28"/>
          <w:szCs w:val="28"/>
        </w:rPr>
      </w:r>
    </w:p>
    <w:p>
      <w:pPr>
        <w:ind w:firstLine="709"/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части 6 статьи 136 Трудового кодекса Российской Федерации заработная плата выплачивается не реже, чем каждые полмесяца. </w:t>
      </w:r>
      <w:r>
        <w:rPr>
          <w:rFonts w:eastAsia="Calibri"/>
          <w:sz w:val="28"/>
          <w:szCs w:val="28"/>
        </w:rPr>
      </w:r>
    </w:p>
    <w:p>
      <w:pPr>
        <w:ind w:firstLine="709"/>
        <w:spacing w:line="360" w:lineRule="exact"/>
        <w:jc w:val="both"/>
        <w:rPr>
          <w:rFonts w:ascii="Verdana" w:hAnsi="Verdana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частью </w:t>
      </w:r>
      <w:r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статьи 157 Трудового кодекса Российской Федерации </w:t>
      </w:r>
      <w:r>
        <w:rPr>
          <w:rFonts w:eastAsia="Calibri"/>
          <w:sz w:val="28"/>
          <w:szCs w:val="28"/>
        </w:rPr>
        <w:t>в</w:t>
      </w:r>
      <w:r>
        <w:rPr>
          <w:sz w:val="28"/>
          <w:szCs w:val="28"/>
        </w:rPr>
        <w:t>ремя простоя по вине работодателя оплачивается в размере не менее двух третей средней заработной платы работника.</w:t>
      </w:r>
      <w:r>
        <w:rPr>
          <w:rFonts w:ascii="Verdana" w:hAnsi="Verdana"/>
          <w:sz w:val="28"/>
          <w:szCs w:val="28"/>
        </w:rPr>
      </w:r>
    </w:p>
    <w:p>
      <w:pPr>
        <w:ind w:firstLine="709"/>
        <w:spacing w:line="36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оплата простоя должна производиться </w:t>
      </w:r>
      <w:r>
        <w:rPr>
          <w:rFonts w:eastAsia="Calibri"/>
          <w:sz w:val="28"/>
          <w:szCs w:val="28"/>
        </w:rPr>
        <w:t xml:space="preserve">работнику </w:t>
      </w:r>
      <w:r>
        <w:rPr>
          <w:rFonts w:eastAsia="Calibri"/>
          <w:sz w:val="28"/>
          <w:szCs w:val="28"/>
        </w:rPr>
        <w:t>в дни выплаты заработной платы, установленные Правилами внутреннего трудового распорядка</w:t>
      </w:r>
      <w:r>
        <w:rPr>
          <w:rFonts w:eastAsia="Calibri"/>
          <w:sz w:val="28"/>
          <w:szCs w:val="28"/>
        </w:rPr>
        <w:t xml:space="preserve">. За каждые полмесяца выплачивается сумма, составляющая половину от суммы равной 2/3 </w:t>
      </w:r>
      <w:r>
        <w:rPr>
          <w:sz w:val="28"/>
          <w:szCs w:val="28"/>
        </w:rPr>
        <w:t>средней заработной платы работника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540"/>
        <w: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ind w:firstLine="540"/>
        <w: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tbl>
      <w:tblPr>
        <w:tblStyle w:val="TableGrid"/>
        <w:name w:val="Таблица2"/>
        <w:tabOrder w:val="0"/>
        <w:jc w:val="left"/>
        <w:tblInd w:w="0" w:type="dxa"/>
        <w:tblW w:w="9637" w:type="dxa"/>
        <w:tblLook w:val="04A0" w:firstRow="1" w:lastRow="0" w:firstColumn="1" w:lastColumn="0" w:noHBand="0" w:noVBand="1"/>
      </w:tblPr>
      <w:tblGrid>
        <w:gridCol w:w="5013"/>
        <w:gridCol w:w="4624"/>
      </w:tblGrid>
      <w:tr>
        <w:trPr>
          <w:cantSplit w:val="0"/>
          <w:trHeight w:val="0" w:hRule="auto"/>
        </w:trPr>
        <w:tc>
          <w:tcPr>
            <w:tcW w:w="5013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2388180" protected="0"/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</w:t>
            </w:r>
          </w:p>
          <w:p>
            <w:pPr>
              <w:spacing w:line="240" w:lineRule="exact"/>
            </w:pPr>
            <w:r>
              <w:rPr>
                <w:sz w:val="28"/>
                <w:szCs w:val="28"/>
              </w:rPr>
              <w:t>директора ОАО «РЖД»</w:t>
              <w:tab/>
            </w:r>
            <w:r/>
          </w:p>
        </w:tc>
        <w:tc>
          <w:tcPr>
            <w:tcW w:w="4624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2388180" protected="0"/>
          </w:tcPr>
          <w:p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 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первичной</w:t>
            </w:r>
            <w:r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рофсоюзной</w:t>
            </w:r>
            <w:r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 xml:space="preserve">организации </w:t>
            </w:r>
            <w:r>
              <w:rPr>
                <w:rFonts w:eastAsia="Calibri"/>
                <w:sz w:val="28"/>
                <w:szCs w:val="28"/>
              </w:rPr>
              <w:t>ОАО «</w:t>
            </w:r>
            <w:r>
              <w:rPr>
                <w:rFonts w:eastAsia="Calibri"/>
                <w:sz w:val="28"/>
                <w:szCs w:val="28"/>
              </w:rPr>
              <w:t>РЖД»</w:t>
            </w:r>
            <w:r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 xml:space="preserve"> Российского профессионального </w:t>
            </w:r>
            <w:r>
              <w:rPr>
                <w:rFonts w:eastAsia="Calibri"/>
                <w:sz w:val="28"/>
                <w:szCs w:val="28"/>
              </w:rPr>
              <w:t xml:space="preserve">союза железнодорожников и транспортных строителей </w:t>
            </w:r>
            <w:r>
              <w:rPr>
                <w:rFonts w:eastAsia="Calibri"/>
                <w:sz w:val="28"/>
                <w:szCs w:val="28"/>
              </w:rPr>
            </w:r>
          </w:p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5013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2388180" protected="0"/>
          </w:tcPr>
          <w:p>
            <w:pPr/>
            <w:r>
              <w:rPr>
                <w:sz w:val="28"/>
                <w:szCs w:val="28"/>
              </w:rPr>
              <w:t xml:space="preserve">                                    Д.С. Шаханов</w:t>
            </w:r>
            <w:r/>
          </w:p>
        </w:tc>
        <w:tc>
          <w:tcPr>
            <w:tcW w:w="4624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9238818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Н.А.Никифоров</w:t>
            </w: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1418" w:top="680" w:right="851" w:bottom="624" w:header="709" w:footer="0"/>
      <w:paperSrc w:first="0" w:other="0" a="0" b="0"/>
      <w:pgNumType w:fmt="decimal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center"/>
    </w:pPr>
    <w:r>
      <w:fldChar w:fldCharType="begin"/>
      <w:instrText xml:space="preserve"> PAGE </w:instrText>
      <w:fldChar w:fldCharType="separate"/>
      <w:t>1</w:t>
      <w:fldChar w:fldCharType="end"/>
    </w:r>
  </w:p>
  <w:p>
    <w:pPr>
      <w:pStyle w:val="para2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92388180" w:val="976" w:fileVer="342" w:fileVerOS="4"/>
  <w:guidesAndGrid showGuides="1" lockGuides="0" snapToGuides="1" snapToPageMargins="0" tolerance="8" gridDistanceHorizontal="12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 w:customStyle="1">
    <w:name w:val="ConsPlusNormal"/>
    <w:qFormat/>
    <w:pPr>
      <w:widowControl w:val="0"/>
    </w:pPr>
    <w:rPr>
      <w:rFonts w:ascii="Calibri" w:hAnsi="Calibri" w:cs="Calibri"/>
      <w:sz w:val="22"/>
      <w:lang w:val="ru-ru" w:bidi="ar-sa"/>
    </w:rPr>
  </w:style>
  <w:style w:type="paragraph" w:styleId="para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 w:customStyle="1">
    <w:name w:val="ConsPlusNormal"/>
    <w:qFormat/>
    <w:pPr>
      <w:widowControl w:val="0"/>
    </w:pPr>
    <w:rPr>
      <w:rFonts w:ascii="Calibri" w:hAnsi="Calibri" w:cs="Calibri"/>
      <w:sz w:val="22"/>
      <w:lang w:val="ru-ru" w:bidi="ar-sa"/>
    </w:rPr>
  </w:style>
  <w:style w:type="paragraph" w:styleId="para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РыбинаЕЕ</dc:creator>
  <cp:keywords/>
  <dc:description/>
  <cp:lastModifiedBy>Анисенко Марина Григорьевна</cp:lastModifiedBy>
  <cp:revision>3</cp:revision>
  <cp:lastPrinted>2018-01-12T12:54:00Z</cp:lastPrinted>
  <dcterms:created xsi:type="dcterms:W3CDTF">2020-06-17T10:03:00Z</dcterms:created>
  <dcterms:modified xsi:type="dcterms:W3CDTF">2020-06-17T10:03:00Z</dcterms:modified>
</cp:coreProperties>
</file>